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36E1" w14:textId="6F4E8AF4" w:rsidR="005D27F5" w:rsidRPr="00904B92" w:rsidRDefault="00473226" w:rsidP="005D2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6797 </w:t>
      </w:r>
      <w:r w:rsidR="005D27F5" w:rsidRPr="00904B92">
        <w:rPr>
          <w:b/>
          <w:sz w:val="24"/>
          <w:szCs w:val="24"/>
        </w:rPr>
        <w:t>Z1</w:t>
      </w:r>
      <w:r w:rsidR="00BC7D81">
        <w:rPr>
          <w:b/>
          <w:sz w:val="24"/>
          <w:szCs w:val="24"/>
        </w:rPr>
        <w:t xml:space="preserve"> REBID</w:t>
      </w:r>
      <w:r w:rsidR="005D27F5" w:rsidRPr="00904B92">
        <w:rPr>
          <w:b/>
          <w:sz w:val="24"/>
          <w:szCs w:val="24"/>
        </w:rPr>
        <w:t xml:space="preserve"> – Portable Toilet Rental Services</w:t>
      </w:r>
    </w:p>
    <w:p w14:paraId="21061428" w14:textId="77777777" w:rsidR="005D27F5" w:rsidRPr="00904B92" w:rsidRDefault="005D27F5" w:rsidP="005D27F5">
      <w:pPr>
        <w:spacing w:after="0" w:line="240" w:lineRule="auto"/>
        <w:jc w:val="center"/>
        <w:rPr>
          <w:b/>
          <w:sz w:val="24"/>
          <w:szCs w:val="24"/>
        </w:rPr>
      </w:pPr>
      <w:r w:rsidRPr="00904B92">
        <w:rPr>
          <w:b/>
          <w:sz w:val="24"/>
          <w:szCs w:val="24"/>
        </w:rPr>
        <w:t xml:space="preserve">Lakes McConaughy &amp; Ogallala SRA </w:t>
      </w:r>
    </w:p>
    <w:p w14:paraId="014001C6" w14:textId="77777777" w:rsidR="005D27F5" w:rsidRPr="00A77172" w:rsidRDefault="005D27F5" w:rsidP="005D27F5">
      <w:pPr>
        <w:spacing w:after="0" w:line="240" w:lineRule="auto"/>
        <w:jc w:val="center"/>
        <w:rPr>
          <w:b/>
          <w:sz w:val="24"/>
          <w:szCs w:val="24"/>
        </w:rPr>
      </w:pPr>
      <w:r w:rsidRPr="00A77172">
        <w:rPr>
          <w:b/>
          <w:sz w:val="24"/>
          <w:szCs w:val="24"/>
        </w:rPr>
        <w:t>1475 Highway 61 N, Ogallala, NE 69153</w:t>
      </w:r>
    </w:p>
    <w:p w14:paraId="5AA8CCA8" w14:textId="4823512B" w:rsidR="005D27F5" w:rsidRPr="005D27F5" w:rsidRDefault="005D27F5" w:rsidP="005D27F5">
      <w:pPr>
        <w:spacing w:after="0" w:line="240" w:lineRule="auto"/>
        <w:jc w:val="center"/>
        <w:rPr>
          <w:b/>
          <w:sz w:val="24"/>
          <w:szCs w:val="24"/>
        </w:rPr>
      </w:pPr>
      <w:r w:rsidRPr="00904B92">
        <w:rPr>
          <w:b/>
          <w:sz w:val="24"/>
          <w:szCs w:val="24"/>
        </w:rPr>
        <w:t xml:space="preserve">Cost Proposal </w:t>
      </w:r>
    </w:p>
    <w:p w14:paraId="72878AE1" w14:textId="77777777" w:rsidR="005D27F5" w:rsidRDefault="005D27F5" w:rsidP="005D27F5">
      <w:pPr>
        <w:rPr>
          <w:b/>
          <w:bCs/>
        </w:rPr>
      </w:pPr>
    </w:p>
    <w:p w14:paraId="442BE5FF" w14:textId="0FBD76E9" w:rsidR="005D27F5" w:rsidRDefault="005D27F5" w:rsidP="005D27F5">
      <w:pPr>
        <w:rPr>
          <w:b/>
          <w:bCs/>
        </w:rPr>
      </w:pPr>
      <w:r>
        <w:rPr>
          <w:b/>
          <w:bCs/>
        </w:rPr>
        <w:t xml:space="preserve">Bidder Name: ______________________________ </w:t>
      </w:r>
    </w:p>
    <w:p w14:paraId="680511C3" w14:textId="1CA6C04C" w:rsidR="00AD3341" w:rsidRPr="00107613" w:rsidRDefault="00A54DE4" w:rsidP="005D27F5">
      <w:pPr>
        <w:rPr>
          <w:bCs/>
          <w:sz w:val="20"/>
          <w:szCs w:val="20"/>
        </w:rPr>
      </w:pPr>
      <w:r w:rsidRPr="00107613">
        <w:rPr>
          <w:b/>
          <w:sz w:val="20"/>
          <w:szCs w:val="20"/>
        </w:rPr>
        <w:t>NOTE:</w:t>
      </w:r>
      <w:r w:rsidRPr="00904B92">
        <w:rPr>
          <w:bCs/>
          <w:sz w:val="20"/>
          <w:szCs w:val="20"/>
        </w:rPr>
        <w:t xml:space="preserve"> </w:t>
      </w:r>
      <w:r w:rsidRPr="00107613">
        <w:rPr>
          <w:bCs/>
          <w:sz w:val="20"/>
          <w:szCs w:val="20"/>
        </w:rPr>
        <w:t xml:space="preserve">Volume of services is subject to reduction of up to 65% due to lake water level and/or other extenuating circumstances throughout </w:t>
      </w:r>
      <w:r w:rsidR="00AD3341" w:rsidRPr="00107613">
        <w:rPr>
          <w:bCs/>
          <w:sz w:val="20"/>
          <w:szCs w:val="20"/>
        </w:rPr>
        <w:t>the entirety of the awarded Contract.</w:t>
      </w:r>
    </w:p>
    <w:p w14:paraId="48729B38" w14:textId="1B7854FB" w:rsidR="003D53EA" w:rsidRPr="00107613" w:rsidRDefault="005D27F5" w:rsidP="00D6375F">
      <w:pPr>
        <w:rPr>
          <w:bCs/>
          <w:sz w:val="20"/>
          <w:szCs w:val="20"/>
        </w:rPr>
      </w:pPr>
      <w:r w:rsidRPr="00107613">
        <w:rPr>
          <w:bCs/>
          <w:sz w:val="20"/>
          <w:szCs w:val="20"/>
        </w:rPr>
        <w:t xml:space="preserve">Prices for </w:t>
      </w:r>
      <w:r w:rsidR="003D53EA" w:rsidRPr="00107613">
        <w:rPr>
          <w:bCs/>
          <w:sz w:val="20"/>
          <w:szCs w:val="20"/>
        </w:rPr>
        <w:t xml:space="preserve">Optional Renewal </w:t>
      </w:r>
      <w:r w:rsidR="00107613">
        <w:rPr>
          <w:bCs/>
          <w:sz w:val="20"/>
          <w:szCs w:val="20"/>
        </w:rPr>
        <w:t>Years</w:t>
      </w:r>
      <w:r w:rsidR="003D53EA" w:rsidRPr="00107613">
        <w:rPr>
          <w:bCs/>
          <w:sz w:val="20"/>
          <w:szCs w:val="20"/>
        </w:rPr>
        <w:t xml:space="preserve"> in the second chart below will not be </w:t>
      </w:r>
      <w:r w:rsidRPr="00107613">
        <w:rPr>
          <w:bCs/>
          <w:sz w:val="20"/>
          <w:szCs w:val="20"/>
        </w:rPr>
        <w:t>included in scoring.</w:t>
      </w:r>
      <w:r w:rsidR="00D85F08" w:rsidRPr="00107613">
        <w:rPr>
          <w:bCs/>
          <w:sz w:val="20"/>
          <w:szCs w:val="20"/>
        </w:rPr>
        <w:t xml:space="preserve">  However, years 6-10 should be populated prior to submission.  </w:t>
      </w:r>
    </w:p>
    <w:p w14:paraId="3BFE3191" w14:textId="4967F9F6" w:rsidR="00FF0BE3" w:rsidRPr="00107613" w:rsidRDefault="003C220B" w:rsidP="00D6375F">
      <w:pPr>
        <w:rPr>
          <w:bCs/>
          <w:sz w:val="20"/>
          <w:szCs w:val="20"/>
        </w:rPr>
      </w:pPr>
      <w:r w:rsidRPr="00107613">
        <w:rPr>
          <w:b/>
          <w:sz w:val="20"/>
          <w:szCs w:val="20"/>
        </w:rPr>
        <w:t>INSTRUCTION:</w:t>
      </w:r>
      <w:r w:rsidRPr="00873D29">
        <w:rPr>
          <w:bCs/>
          <w:sz w:val="20"/>
          <w:szCs w:val="20"/>
        </w:rPr>
        <w:t xml:space="preserve"> </w:t>
      </w:r>
      <w:r w:rsidR="00FF0BE3" w:rsidRPr="00107613">
        <w:rPr>
          <w:bCs/>
          <w:sz w:val="20"/>
          <w:szCs w:val="20"/>
        </w:rPr>
        <w:t xml:space="preserve">Please fill each blank box </w:t>
      </w:r>
      <w:r w:rsidR="00946AC4" w:rsidRPr="00107613">
        <w:rPr>
          <w:bCs/>
          <w:sz w:val="20"/>
          <w:szCs w:val="20"/>
        </w:rPr>
        <w:t xml:space="preserve">in the charts </w:t>
      </w:r>
      <w:r w:rsidR="00FF0BE3" w:rsidRPr="00107613">
        <w:rPr>
          <w:bCs/>
          <w:sz w:val="20"/>
          <w:szCs w:val="20"/>
        </w:rPr>
        <w:t>below with an all-cost-inclusive</w:t>
      </w:r>
      <w:r w:rsidRPr="00107613">
        <w:rPr>
          <w:bCs/>
          <w:sz w:val="20"/>
          <w:szCs w:val="20"/>
        </w:rPr>
        <w:t>, single,</w:t>
      </w:r>
      <w:r w:rsidR="00FF0BE3" w:rsidRPr="00107613">
        <w:rPr>
          <w:bCs/>
          <w:sz w:val="20"/>
          <w:szCs w:val="20"/>
        </w:rPr>
        <w:t xml:space="preserve"> flat rate ‘</w:t>
      </w:r>
      <w:r w:rsidR="00C25F68" w:rsidRPr="00107613">
        <w:rPr>
          <w:bCs/>
          <w:sz w:val="20"/>
          <w:szCs w:val="20"/>
        </w:rPr>
        <w:t>P</w:t>
      </w:r>
      <w:r w:rsidR="00FF0BE3" w:rsidRPr="00107613">
        <w:rPr>
          <w:bCs/>
          <w:sz w:val="20"/>
          <w:szCs w:val="20"/>
        </w:rPr>
        <w:t xml:space="preserve">er </w:t>
      </w:r>
      <w:r w:rsidR="00C25F68" w:rsidRPr="00107613">
        <w:rPr>
          <w:bCs/>
          <w:sz w:val="20"/>
          <w:szCs w:val="20"/>
        </w:rPr>
        <w:t>U</w:t>
      </w:r>
      <w:r w:rsidR="00FF0BE3" w:rsidRPr="00107613">
        <w:rPr>
          <w:bCs/>
          <w:sz w:val="20"/>
          <w:szCs w:val="20"/>
        </w:rPr>
        <w:t xml:space="preserve">nit </w:t>
      </w:r>
      <w:r w:rsidR="00C25F68" w:rsidRPr="00107613">
        <w:rPr>
          <w:bCs/>
          <w:sz w:val="20"/>
          <w:szCs w:val="20"/>
        </w:rPr>
        <w:t>S</w:t>
      </w:r>
      <w:r w:rsidR="00FF0BE3" w:rsidRPr="00107613">
        <w:rPr>
          <w:bCs/>
          <w:sz w:val="20"/>
          <w:szCs w:val="20"/>
        </w:rPr>
        <w:t xml:space="preserve">erviced’. </w:t>
      </w:r>
      <w:r w:rsidR="00C25F68" w:rsidRPr="00107613">
        <w:rPr>
          <w:bCs/>
          <w:sz w:val="20"/>
          <w:szCs w:val="20"/>
        </w:rPr>
        <w:t>The proposed flat rate ‘Per Unit Serviced’ must incorporate</w:t>
      </w:r>
      <w:r w:rsidR="00F545B3" w:rsidRPr="00107613">
        <w:rPr>
          <w:bCs/>
          <w:sz w:val="20"/>
          <w:szCs w:val="20"/>
        </w:rPr>
        <w:t xml:space="preserve"> (factor in)</w:t>
      </w:r>
      <w:r w:rsidR="00C25F68" w:rsidRPr="00107613">
        <w:rPr>
          <w:bCs/>
          <w:sz w:val="20"/>
          <w:szCs w:val="20"/>
        </w:rPr>
        <w:t>, but not be limited to, fees for rental, cleaning, provision of supplies, transportation (fuel surcharge), pick-up, and drop-off of all portable toilets.</w:t>
      </w:r>
    </w:p>
    <w:p w14:paraId="5F0AEC2B" w14:textId="19958C07" w:rsidR="00B5761C" w:rsidRPr="00107613" w:rsidRDefault="00FF0BE3" w:rsidP="00D6375F">
      <w:pPr>
        <w:rPr>
          <w:bCs/>
          <w:sz w:val="20"/>
          <w:szCs w:val="20"/>
        </w:rPr>
      </w:pPr>
      <w:r w:rsidRPr="00107613">
        <w:rPr>
          <w:bCs/>
          <w:sz w:val="20"/>
          <w:szCs w:val="20"/>
        </w:rPr>
        <w:t xml:space="preserve">The awarded contractor shall not be allowed to submit invoices to NE Game &amp; Parks </w:t>
      </w:r>
      <w:r w:rsidR="00D85F08" w:rsidRPr="00107613">
        <w:rPr>
          <w:bCs/>
          <w:sz w:val="20"/>
          <w:szCs w:val="20"/>
        </w:rPr>
        <w:t xml:space="preserve">Commission </w:t>
      </w:r>
      <w:r w:rsidRPr="00107613">
        <w:rPr>
          <w:bCs/>
          <w:sz w:val="20"/>
          <w:szCs w:val="20"/>
        </w:rPr>
        <w:t>with any</w:t>
      </w:r>
      <w:r w:rsidR="00946AC4" w:rsidRPr="00107613">
        <w:rPr>
          <w:bCs/>
          <w:sz w:val="20"/>
          <w:szCs w:val="20"/>
        </w:rPr>
        <w:t xml:space="preserve"> line item</w:t>
      </w:r>
      <w:r w:rsidRPr="00107613">
        <w:rPr>
          <w:bCs/>
          <w:sz w:val="20"/>
          <w:szCs w:val="20"/>
        </w:rPr>
        <w:t xml:space="preserve"> costs in addition to the flat ‘</w:t>
      </w:r>
      <w:r w:rsidR="0065243F" w:rsidRPr="00107613">
        <w:rPr>
          <w:bCs/>
          <w:sz w:val="20"/>
          <w:szCs w:val="20"/>
        </w:rPr>
        <w:t>P</w:t>
      </w:r>
      <w:r w:rsidRPr="00107613">
        <w:rPr>
          <w:bCs/>
          <w:sz w:val="20"/>
          <w:szCs w:val="20"/>
        </w:rPr>
        <w:t xml:space="preserve">er </w:t>
      </w:r>
      <w:r w:rsidR="0065243F" w:rsidRPr="00107613">
        <w:rPr>
          <w:bCs/>
          <w:sz w:val="20"/>
          <w:szCs w:val="20"/>
        </w:rPr>
        <w:t>U</w:t>
      </w:r>
      <w:r w:rsidRPr="00107613">
        <w:rPr>
          <w:bCs/>
          <w:sz w:val="20"/>
          <w:szCs w:val="20"/>
        </w:rPr>
        <w:t xml:space="preserve">nit </w:t>
      </w:r>
      <w:r w:rsidR="0065243F" w:rsidRPr="00107613">
        <w:rPr>
          <w:bCs/>
          <w:sz w:val="20"/>
          <w:szCs w:val="20"/>
        </w:rPr>
        <w:t>S</w:t>
      </w:r>
      <w:r w:rsidRPr="00107613">
        <w:rPr>
          <w:bCs/>
          <w:sz w:val="20"/>
          <w:szCs w:val="20"/>
        </w:rPr>
        <w:t>erviced’ rate</w:t>
      </w:r>
      <w:r w:rsidR="003C220B" w:rsidRPr="00107613">
        <w:rPr>
          <w:bCs/>
          <w:sz w:val="20"/>
          <w:szCs w:val="20"/>
        </w:rPr>
        <w:t xml:space="preserve"> provided for each given year within this</w:t>
      </w:r>
      <w:r w:rsidR="0065243F" w:rsidRPr="00107613">
        <w:rPr>
          <w:bCs/>
          <w:sz w:val="20"/>
          <w:szCs w:val="20"/>
        </w:rPr>
        <w:t xml:space="preserve"> cost</w:t>
      </w:r>
      <w:r w:rsidR="003C220B" w:rsidRPr="00107613">
        <w:rPr>
          <w:bCs/>
          <w:sz w:val="20"/>
          <w:szCs w:val="20"/>
        </w:rPr>
        <w:t xml:space="preserve"> proposal. </w:t>
      </w:r>
      <w:r w:rsidR="00B5761C" w:rsidRPr="00107613">
        <w:rPr>
          <w:bCs/>
          <w:sz w:val="20"/>
          <w:szCs w:val="20"/>
        </w:rPr>
        <w:t>Invoices will simply include the number of units service</w:t>
      </w:r>
      <w:r w:rsidR="00904B92" w:rsidRPr="00107613">
        <w:rPr>
          <w:bCs/>
          <w:sz w:val="20"/>
          <w:szCs w:val="20"/>
        </w:rPr>
        <w:t>d</w:t>
      </w:r>
      <w:r w:rsidR="00B5761C" w:rsidRPr="00107613">
        <w:rPr>
          <w:bCs/>
          <w:sz w:val="20"/>
          <w:szCs w:val="20"/>
        </w:rPr>
        <w:t xml:space="preserve"> for a given date range multiplied by the flat, ‘per unit serviced’ rate provided in </w:t>
      </w:r>
      <w:r w:rsidR="00946AC4" w:rsidRPr="00107613">
        <w:rPr>
          <w:bCs/>
          <w:sz w:val="20"/>
          <w:szCs w:val="20"/>
        </w:rPr>
        <w:t xml:space="preserve">response to </w:t>
      </w:r>
      <w:r w:rsidR="00B5761C" w:rsidRPr="00107613">
        <w:rPr>
          <w:bCs/>
          <w:sz w:val="20"/>
          <w:szCs w:val="20"/>
        </w:rPr>
        <w:t xml:space="preserve">this cost proposal. </w:t>
      </w:r>
    </w:p>
    <w:p w14:paraId="63B13287" w14:textId="75DA1E30" w:rsidR="003D53EA" w:rsidRPr="00107613" w:rsidRDefault="00763D31" w:rsidP="00D6375F">
      <w:pPr>
        <w:rPr>
          <w:bCs/>
          <w:sz w:val="20"/>
          <w:szCs w:val="20"/>
        </w:rPr>
      </w:pPr>
      <w:r w:rsidRPr="00107613">
        <w:rPr>
          <w:bCs/>
          <w:sz w:val="20"/>
          <w:szCs w:val="20"/>
        </w:rPr>
        <w:t>Please refer to</w:t>
      </w:r>
      <w:r w:rsidR="00BC7D81" w:rsidRPr="00BC7D81">
        <w:rPr>
          <w:bCs/>
          <w:sz w:val="20"/>
          <w:szCs w:val="20"/>
        </w:rPr>
        <w:t xml:space="preserve"> </w:t>
      </w:r>
      <w:r w:rsidR="00BC7D81" w:rsidRPr="00107613">
        <w:rPr>
          <w:bCs/>
          <w:sz w:val="20"/>
          <w:szCs w:val="20"/>
        </w:rPr>
        <w:t>RFP</w:t>
      </w:r>
      <w:r w:rsidRPr="00107613">
        <w:rPr>
          <w:bCs/>
          <w:sz w:val="20"/>
          <w:szCs w:val="20"/>
        </w:rPr>
        <w:t xml:space="preserve"> </w:t>
      </w:r>
      <w:r w:rsidR="00C25F68" w:rsidRPr="00107613">
        <w:rPr>
          <w:bCs/>
          <w:sz w:val="20"/>
          <w:szCs w:val="20"/>
        </w:rPr>
        <w:t>6797 Z1</w:t>
      </w:r>
      <w:r w:rsidR="00BC7D81">
        <w:rPr>
          <w:bCs/>
          <w:sz w:val="20"/>
          <w:szCs w:val="20"/>
        </w:rPr>
        <w:t xml:space="preserve"> REBID</w:t>
      </w:r>
      <w:r w:rsidR="00C25F68" w:rsidRPr="00107613">
        <w:rPr>
          <w:bCs/>
          <w:sz w:val="20"/>
          <w:szCs w:val="20"/>
        </w:rPr>
        <w:t xml:space="preserve"> </w:t>
      </w:r>
      <w:r w:rsidRPr="00107613">
        <w:rPr>
          <w:bCs/>
          <w:sz w:val="20"/>
          <w:szCs w:val="20"/>
        </w:rPr>
        <w:t>Section V. Project Description and Scope of Work</w:t>
      </w:r>
      <w:r w:rsidR="006A1874" w:rsidRPr="00107613">
        <w:rPr>
          <w:bCs/>
          <w:sz w:val="20"/>
          <w:szCs w:val="20"/>
        </w:rPr>
        <w:t xml:space="preserve"> and Attachments 1-3</w:t>
      </w:r>
      <w:r w:rsidRPr="00107613">
        <w:rPr>
          <w:bCs/>
          <w:sz w:val="20"/>
          <w:szCs w:val="20"/>
        </w:rPr>
        <w:t xml:space="preserve"> for project requirements and </w:t>
      </w:r>
      <w:r w:rsidR="006A1874" w:rsidRPr="00107613">
        <w:rPr>
          <w:bCs/>
          <w:sz w:val="20"/>
          <w:szCs w:val="20"/>
        </w:rPr>
        <w:t xml:space="preserve">specification </w:t>
      </w:r>
      <w:r w:rsidRPr="00107613">
        <w:rPr>
          <w:bCs/>
          <w:sz w:val="20"/>
          <w:szCs w:val="20"/>
        </w:rPr>
        <w:t xml:space="preserve">detail. </w:t>
      </w:r>
    </w:p>
    <w:p w14:paraId="21CF718A" w14:textId="77777777" w:rsidR="00C25F68" w:rsidRPr="00A77172" w:rsidRDefault="00C25F68" w:rsidP="00D6375F">
      <w:pPr>
        <w:rPr>
          <w:bCs/>
          <w:sz w:val="20"/>
          <w:szCs w:val="20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208"/>
        <w:gridCol w:w="1397"/>
        <w:gridCol w:w="1260"/>
        <w:gridCol w:w="1260"/>
        <w:gridCol w:w="1260"/>
        <w:gridCol w:w="1260"/>
        <w:gridCol w:w="1260"/>
      </w:tblGrid>
      <w:tr w:rsidR="00D6375F" w:rsidRPr="00CB1EF1" w14:paraId="3572C0B9" w14:textId="43FA36D0" w:rsidTr="00DC33B5">
        <w:trPr>
          <w:trHeight w:val="710"/>
        </w:trPr>
        <w:tc>
          <w:tcPr>
            <w:tcW w:w="1208" w:type="dxa"/>
            <w:shd w:val="clear" w:color="auto" w:fill="FFD966" w:themeFill="accent4" w:themeFillTint="99"/>
          </w:tcPr>
          <w:p w14:paraId="561CDC56" w14:textId="58CA7907" w:rsidR="006539B6" w:rsidRPr="000832E0" w:rsidRDefault="00097E79" w:rsidP="000832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Estimated # of </w:t>
            </w:r>
            <w:r w:rsidR="00D6375F">
              <w:rPr>
                <w:b/>
                <w:bCs/>
                <w:iCs/>
                <w:sz w:val="20"/>
                <w:szCs w:val="20"/>
              </w:rPr>
              <w:t xml:space="preserve">Annual </w:t>
            </w:r>
            <w:r>
              <w:rPr>
                <w:b/>
                <w:bCs/>
                <w:iCs/>
                <w:sz w:val="20"/>
                <w:szCs w:val="20"/>
              </w:rPr>
              <w:t>Services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323E569E" w14:textId="7BA51000" w:rsidR="002B169C" w:rsidRPr="002B169C" w:rsidRDefault="002B169C" w:rsidP="00267A08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 w:rsidRPr="002B169C">
              <w:rPr>
                <w:b/>
                <w:bCs/>
                <w:i/>
                <w:sz w:val="20"/>
                <w:szCs w:val="20"/>
              </w:rPr>
              <w:t>Initial Term Years 1 - 5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8DC803" w14:textId="392F0242" w:rsidR="006539B6" w:rsidRPr="00CB1EF1" w:rsidRDefault="002B169C" w:rsidP="006539B6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3EE20D" w14:textId="7E8A0148" w:rsidR="006539B6" w:rsidRPr="00CB1EF1" w:rsidRDefault="002B169C" w:rsidP="006539B6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AB750DD" w14:textId="752F190C" w:rsidR="006539B6" w:rsidRPr="00CB1EF1" w:rsidRDefault="002B169C" w:rsidP="006539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7300B2" w14:textId="0F628CB0" w:rsidR="006539B6" w:rsidRPr="00CB1EF1" w:rsidRDefault="002B169C" w:rsidP="006539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15958A" w14:textId="0F1EA435" w:rsidR="006539B6" w:rsidRPr="00CB1EF1" w:rsidRDefault="002B169C" w:rsidP="006539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5</w:t>
            </w:r>
          </w:p>
        </w:tc>
      </w:tr>
      <w:tr w:rsidR="003D3ADE" w:rsidRPr="003D3ADE" w14:paraId="11592FF9" w14:textId="77777777" w:rsidTr="00D6375F">
        <w:trPr>
          <w:trHeight w:val="260"/>
        </w:trPr>
        <w:tc>
          <w:tcPr>
            <w:tcW w:w="8905" w:type="dxa"/>
            <w:gridSpan w:val="7"/>
            <w:shd w:val="clear" w:color="auto" w:fill="000000" w:themeFill="text1"/>
          </w:tcPr>
          <w:p w14:paraId="0EB6AEB6" w14:textId="67EFDE12" w:rsidR="003D3ADE" w:rsidRPr="003D3ADE" w:rsidRDefault="003D3ADE" w:rsidP="006539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McConaughy SRA</w:t>
            </w:r>
          </w:p>
        </w:tc>
      </w:tr>
      <w:tr w:rsidR="006539B6" w:rsidRPr="00CB1EF1" w14:paraId="3BE3941D" w14:textId="6416B003" w:rsidTr="00DC33B5">
        <w:trPr>
          <w:trHeight w:val="539"/>
        </w:trPr>
        <w:tc>
          <w:tcPr>
            <w:tcW w:w="1208" w:type="dxa"/>
            <w:shd w:val="clear" w:color="auto" w:fill="FFD966" w:themeFill="accent4" w:themeFillTint="99"/>
          </w:tcPr>
          <w:p w14:paraId="53A666A5" w14:textId="4F3A4834" w:rsidR="006539B6" w:rsidRPr="000832E0" w:rsidRDefault="00DC33B5" w:rsidP="00097E7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2,802</w:t>
            </w:r>
          </w:p>
        </w:tc>
        <w:tc>
          <w:tcPr>
            <w:tcW w:w="1397" w:type="dxa"/>
          </w:tcPr>
          <w:p w14:paraId="169EBAE9" w14:textId="627EE7B7" w:rsidR="006539B6" w:rsidRPr="000832E0" w:rsidRDefault="003D3ADE" w:rsidP="00307A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="006539B6"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627544A6" w14:textId="4D0FBE1F" w:rsidR="006539B6" w:rsidRDefault="006539B6" w:rsidP="006539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D78380" w14:textId="77777777" w:rsidR="006539B6" w:rsidRPr="00CB1EF1" w:rsidRDefault="006539B6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DC8E42" w14:textId="77777777" w:rsidR="006539B6" w:rsidRPr="00CB1EF1" w:rsidRDefault="006539B6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4A3BC3" w14:textId="77777777" w:rsidR="006539B6" w:rsidRPr="00CB1EF1" w:rsidRDefault="006539B6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6B5E0C" w14:textId="77777777" w:rsidR="006539B6" w:rsidRPr="00CB1EF1" w:rsidRDefault="006539B6" w:rsidP="006539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3ADE" w:rsidRPr="00CB1EF1" w14:paraId="5954EF9D" w14:textId="77777777" w:rsidTr="00DC33B5">
        <w:trPr>
          <w:trHeight w:val="548"/>
        </w:trPr>
        <w:tc>
          <w:tcPr>
            <w:tcW w:w="1208" w:type="dxa"/>
            <w:shd w:val="clear" w:color="auto" w:fill="FFD966" w:themeFill="accent4" w:themeFillTint="99"/>
          </w:tcPr>
          <w:p w14:paraId="5166FC8B" w14:textId="639601E7" w:rsidR="003D3ADE" w:rsidRPr="000832E0" w:rsidRDefault="00DC33B5" w:rsidP="000832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1,928</w:t>
            </w:r>
          </w:p>
        </w:tc>
        <w:tc>
          <w:tcPr>
            <w:tcW w:w="1397" w:type="dxa"/>
          </w:tcPr>
          <w:p w14:paraId="76F3475F" w14:textId="78A5B318" w:rsidR="003D3ADE" w:rsidRPr="000832E0" w:rsidRDefault="003D3ADE" w:rsidP="00307A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</w:t>
            </w:r>
            <w:r w:rsidR="00D6375F"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14:paraId="6E05F069" w14:textId="77777777" w:rsidR="003D3ADE" w:rsidRDefault="003D3ADE" w:rsidP="006539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E4D15F" w14:textId="77777777" w:rsidR="003D3ADE" w:rsidRPr="00CB1EF1" w:rsidRDefault="003D3ADE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4112A4" w14:textId="77777777" w:rsidR="003D3ADE" w:rsidRPr="00CB1EF1" w:rsidRDefault="003D3ADE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74CB10" w14:textId="77777777" w:rsidR="003D3ADE" w:rsidRPr="00CB1EF1" w:rsidRDefault="003D3ADE" w:rsidP="006539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9EE21B" w14:textId="77777777" w:rsidR="003D3ADE" w:rsidRPr="00CB1EF1" w:rsidRDefault="003D3ADE" w:rsidP="006539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3ADE" w:rsidRPr="00CB1EF1" w14:paraId="3CA6BCD0" w14:textId="77777777" w:rsidTr="00D6375F">
        <w:trPr>
          <w:trHeight w:val="206"/>
        </w:trPr>
        <w:tc>
          <w:tcPr>
            <w:tcW w:w="8905" w:type="dxa"/>
            <w:gridSpan w:val="7"/>
            <w:shd w:val="clear" w:color="auto" w:fill="000000" w:themeFill="text1"/>
          </w:tcPr>
          <w:p w14:paraId="36718922" w14:textId="15D261BD" w:rsidR="003D3ADE" w:rsidRPr="003D3ADE" w:rsidRDefault="003D3ADE" w:rsidP="006539B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Ogallala SRA</w:t>
            </w:r>
          </w:p>
        </w:tc>
      </w:tr>
      <w:tr w:rsidR="00D6375F" w:rsidRPr="00CB1EF1" w14:paraId="5D68B9C7" w14:textId="77777777" w:rsidTr="00DC33B5">
        <w:trPr>
          <w:trHeight w:val="530"/>
        </w:trPr>
        <w:tc>
          <w:tcPr>
            <w:tcW w:w="1208" w:type="dxa"/>
            <w:shd w:val="clear" w:color="auto" w:fill="FFD966" w:themeFill="accent4" w:themeFillTint="99"/>
          </w:tcPr>
          <w:p w14:paraId="5F8932F8" w14:textId="421D03B2" w:rsidR="00673700" w:rsidRPr="000832E0" w:rsidRDefault="00241581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538</w:t>
            </w:r>
          </w:p>
          <w:p w14:paraId="2D752E29" w14:textId="77777777" w:rsidR="00673700" w:rsidRPr="000832E0" w:rsidRDefault="00673700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03789B1D" w14:textId="77777777" w:rsidR="00673700" w:rsidRPr="000832E0" w:rsidRDefault="00673700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44E34E33" w14:textId="77777777" w:rsidR="00673700" w:rsidRDefault="00673700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3BC9E0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BC7DEE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37C7FC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FFF50D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375F" w:rsidRPr="00CB1EF1" w14:paraId="18CFB360" w14:textId="77777777" w:rsidTr="00DC33B5">
        <w:trPr>
          <w:trHeight w:val="530"/>
        </w:trPr>
        <w:tc>
          <w:tcPr>
            <w:tcW w:w="1208" w:type="dxa"/>
            <w:shd w:val="clear" w:color="auto" w:fill="FFD966" w:themeFill="accent4" w:themeFillTint="99"/>
          </w:tcPr>
          <w:p w14:paraId="3B80A207" w14:textId="446247E3" w:rsidR="00673700" w:rsidRPr="000832E0" w:rsidRDefault="00241581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808</w:t>
            </w:r>
          </w:p>
        </w:tc>
        <w:tc>
          <w:tcPr>
            <w:tcW w:w="1397" w:type="dxa"/>
          </w:tcPr>
          <w:p w14:paraId="50D4B78A" w14:textId="007B6FC4" w:rsidR="00673700" w:rsidRPr="000832E0" w:rsidRDefault="00673700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</w:t>
            </w:r>
            <w:r w:rsidR="00D6375F"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14:paraId="0B92108A" w14:textId="77777777" w:rsidR="00673700" w:rsidRDefault="00673700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124B8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3A9596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98751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8F083" w14:textId="77777777" w:rsidR="00673700" w:rsidRPr="00CB1EF1" w:rsidRDefault="00673700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6441F90" w14:textId="77777777" w:rsidR="00267A08" w:rsidRPr="00267A08" w:rsidRDefault="00267A08" w:rsidP="00267A08">
      <w:pPr>
        <w:rPr>
          <w:b/>
          <w:u w:val="single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208"/>
        <w:gridCol w:w="1397"/>
        <w:gridCol w:w="1260"/>
        <w:gridCol w:w="1260"/>
        <w:gridCol w:w="1260"/>
        <w:gridCol w:w="1260"/>
        <w:gridCol w:w="1260"/>
      </w:tblGrid>
      <w:tr w:rsidR="00D6375F" w:rsidRPr="00CB1EF1" w14:paraId="71CF8C6B" w14:textId="77777777" w:rsidTr="00DC33B5">
        <w:trPr>
          <w:trHeight w:val="818"/>
        </w:trPr>
        <w:tc>
          <w:tcPr>
            <w:tcW w:w="1208" w:type="dxa"/>
            <w:shd w:val="clear" w:color="auto" w:fill="FFD966" w:themeFill="accent4" w:themeFillTint="99"/>
          </w:tcPr>
          <w:p w14:paraId="17800153" w14:textId="23DAFF2C" w:rsidR="00097E79" w:rsidRPr="000832E0" w:rsidRDefault="00097E79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Estimated # of</w:t>
            </w:r>
            <w:r w:rsidR="00D6375F">
              <w:rPr>
                <w:b/>
                <w:bCs/>
                <w:iCs/>
                <w:sz w:val="20"/>
                <w:szCs w:val="20"/>
              </w:rPr>
              <w:t xml:space="preserve"> Annual</w:t>
            </w:r>
            <w:r>
              <w:rPr>
                <w:b/>
                <w:bCs/>
                <w:iCs/>
                <w:sz w:val="20"/>
                <w:szCs w:val="20"/>
              </w:rPr>
              <w:t xml:space="preserve"> Services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24BF9250" w14:textId="2635B7BF" w:rsidR="00097E79" w:rsidRPr="002B169C" w:rsidRDefault="00097E79" w:rsidP="0028054B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Optional Renewal</w:t>
            </w:r>
            <w:r w:rsidRPr="002B169C">
              <w:rPr>
                <w:b/>
                <w:bCs/>
                <w:i/>
                <w:sz w:val="20"/>
                <w:szCs w:val="20"/>
              </w:rPr>
              <w:t xml:space="preserve"> Years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5CD3A3" w14:textId="70A18738" w:rsidR="00097E79" w:rsidRPr="00CB1EF1" w:rsidRDefault="00097E79" w:rsidP="0028054B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Renewal </w:t>
            </w:r>
            <w:r w:rsidR="00D6375F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 xml:space="preserve">Year </w:t>
            </w:r>
            <w:r w:rsidR="00D637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830067B" w14:textId="2EE254C4" w:rsidR="00097E79" w:rsidRPr="00CB1EF1" w:rsidRDefault="00097E79" w:rsidP="0028054B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Renewal </w:t>
            </w:r>
            <w:r w:rsidR="00D6375F">
              <w:rPr>
                <w:i/>
                <w:sz w:val="20"/>
                <w:szCs w:val="20"/>
              </w:rPr>
              <w:t xml:space="preserve">2 </w:t>
            </w:r>
            <w:r>
              <w:rPr>
                <w:i/>
                <w:sz w:val="20"/>
                <w:szCs w:val="20"/>
              </w:rPr>
              <w:t xml:space="preserve">Year </w:t>
            </w:r>
            <w:r w:rsidR="00D637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757699" w14:textId="59317490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</w:t>
            </w:r>
            <w:r w:rsidR="00D6375F">
              <w:rPr>
                <w:i/>
                <w:sz w:val="20"/>
                <w:szCs w:val="20"/>
              </w:rPr>
              <w:t xml:space="preserve"> 3</w:t>
            </w:r>
            <w:r>
              <w:rPr>
                <w:i/>
                <w:sz w:val="20"/>
                <w:szCs w:val="20"/>
              </w:rPr>
              <w:t xml:space="preserve"> Year </w:t>
            </w:r>
            <w:r w:rsidR="00D637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53A439" w14:textId="2BE1B700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Renewal </w:t>
            </w:r>
            <w:r w:rsidR="00D6375F">
              <w:rPr>
                <w:i/>
                <w:sz w:val="20"/>
                <w:szCs w:val="20"/>
              </w:rPr>
              <w:t xml:space="preserve">4 </w:t>
            </w:r>
            <w:r>
              <w:rPr>
                <w:i/>
                <w:sz w:val="20"/>
                <w:szCs w:val="20"/>
              </w:rPr>
              <w:t xml:space="preserve">Year </w:t>
            </w:r>
            <w:r w:rsidR="00D637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1CFF3FB" w14:textId="170975E0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Renewal </w:t>
            </w:r>
            <w:r w:rsidR="00D6375F">
              <w:rPr>
                <w:i/>
                <w:sz w:val="20"/>
                <w:szCs w:val="20"/>
              </w:rPr>
              <w:t xml:space="preserve">5 </w:t>
            </w:r>
            <w:r>
              <w:rPr>
                <w:i/>
                <w:sz w:val="20"/>
                <w:szCs w:val="20"/>
              </w:rPr>
              <w:t>Year</w:t>
            </w:r>
            <w:r w:rsidR="00D6375F">
              <w:rPr>
                <w:i/>
                <w:sz w:val="20"/>
                <w:szCs w:val="20"/>
              </w:rPr>
              <w:t xml:space="preserve"> 10</w:t>
            </w:r>
          </w:p>
        </w:tc>
      </w:tr>
      <w:tr w:rsidR="00097E79" w:rsidRPr="003D3ADE" w14:paraId="4B9F59F7" w14:textId="77777777" w:rsidTr="00D6375F">
        <w:trPr>
          <w:trHeight w:val="260"/>
        </w:trPr>
        <w:tc>
          <w:tcPr>
            <w:tcW w:w="8905" w:type="dxa"/>
            <w:gridSpan w:val="7"/>
            <w:shd w:val="clear" w:color="auto" w:fill="000000" w:themeFill="text1"/>
          </w:tcPr>
          <w:p w14:paraId="424AD377" w14:textId="77777777" w:rsidR="00097E79" w:rsidRPr="003D3ADE" w:rsidRDefault="00097E79" w:rsidP="002805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McConaughy SRA</w:t>
            </w:r>
          </w:p>
        </w:tc>
      </w:tr>
      <w:tr w:rsidR="00D6375F" w:rsidRPr="00CB1EF1" w14:paraId="7AFFC33A" w14:textId="77777777" w:rsidTr="00DC33B5">
        <w:trPr>
          <w:trHeight w:val="458"/>
        </w:trPr>
        <w:tc>
          <w:tcPr>
            <w:tcW w:w="1208" w:type="dxa"/>
            <w:shd w:val="clear" w:color="auto" w:fill="FFD966" w:themeFill="accent4" w:themeFillTint="99"/>
          </w:tcPr>
          <w:p w14:paraId="3B4B3B7D" w14:textId="0C94B6D5" w:rsidR="00097E79" w:rsidRPr="000832E0" w:rsidRDefault="00DC33B5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2,802</w:t>
            </w:r>
          </w:p>
        </w:tc>
        <w:tc>
          <w:tcPr>
            <w:tcW w:w="1397" w:type="dxa"/>
          </w:tcPr>
          <w:p w14:paraId="5035ED52" w14:textId="77777777" w:rsidR="00097E79" w:rsidRPr="000832E0" w:rsidRDefault="00097E79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3FDE447F" w14:textId="77777777" w:rsidR="00097E79" w:rsidRDefault="00097E79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F69095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1572CE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E2180A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C0EAE2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375F" w:rsidRPr="00CB1EF1" w14:paraId="24B3DC3B" w14:textId="77777777" w:rsidTr="00DC33B5">
        <w:trPr>
          <w:trHeight w:val="494"/>
        </w:trPr>
        <w:tc>
          <w:tcPr>
            <w:tcW w:w="1208" w:type="dxa"/>
            <w:shd w:val="clear" w:color="auto" w:fill="FFD966" w:themeFill="accent4" w:themeFillTint="99"/>
          </w:tcPr>
          <w:p w14:paraId="40F19430" w14:textId="066BA23A" w:rsidR="00097E79" w:rsidRPr="000832E0" w:rsidRDefault="00DC33B5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1,928</w:t>
            </w:r>
          </w:p>
        </w:tc>
        <w:tc>
          <w:tcPr>
            <w:tcW w:w="1397" w:type="dxa"/>
          </w:tcPr>
          <w:p w14:paraId="0ECEC2B1" w14:textId="6E7537DC" w:rsidR="00097E79" w:rsidRPr="000832E0" w:rsidRDefault="00097E79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</w:t>
            </w:r>
            <w:r w:rsidR="00D6375F"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14:paraId="2D0FBE31" w14:textId="77777777" w:rsidR="00097E79" w:rsidRDefault="00097E79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0038FD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971DEC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3C2AC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301574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97E79" w:rsidRPr="00CB1EF1" w14:paraId="68B73A0A" w14:textId="77777777" w:rsidTr="00D6375F">
        <w:trPr>
          <w:trHeight w:val="206"/>
        </w:trPr>
        <w:tc>
          <w:tcPr>
            <w:tcW w:w="8905" w:type="dxa"/>
            <w:gridSpan w:val="7"/>
            <w:shd w:val="clear" w:color="auto" w:fill="000000" w:themeFill="text1"/>
          </w:tcPr>
          <w:p w14:paraId="23149C27" w14:textId="77777777" w:rsidR="00097E79" w:rsidRPr="003D3ADE" w:rsidRDefault="00097E79" w:rsidP="0028054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Ogallala SRA</w:t>
            </w:r>
          </w:p>
        </w:tc>
      </w:tr>
      <w:tr w:rsidR="00D6375F" w:rsidRPr="00CB1EF1" w14:paraId="70EF0774" w14:textId="77777777" w:rsidTr="00DC33B5">
        <w:trPr>
          <w:trHeight w:val="458"/>
        </w:trPr>
        <w:tc>
          <w:tcPr>
            <w:tcW w:w="1208" w:type="dxa"/>
            <w:shd w:val="clear" w:color="auto" w:fill="FFD966" w:themeFill="accent4" w:themeFillTint="99"/>
          </w:tcPr>
          <w:p w14:paraId="583A8279" w14:textId="135B86AA" w:rsidR="00097E79" w:rsidRPr="000832E0" w:rsidRDefault="00241581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538</w:t>
            </w:r>
          </w:p>
          <w:p w14:paraId="57AC4AED" w14:textId="77777777" w:rsidR="00097E79" w:rsidRPr="000832E0" w:rsidRDefault="00097E79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07C34051" w14:textId="77777777" w:rsidR="00097E79" w:rsidRPr="000832E0" w:rsidRDefault="00097E79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68870B36" w14:textId="77777777" w:rsidR="00097E79" w:rsidRDefault="00097E79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C601C4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3E8C4E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99467C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31B4BA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375F" w:rsidRPr="00CB1EF1" w14:paraId="3E7F98DA" w14:textId="77777777" w:rsidTr="00DC33B5">
        <w:trPr>
          <w:trHeight w:val="503"/>
        </w:trPr>
        <w:tc>
          <w:tcPr>
            <w:tcW w:w="1208" w:type="dxa"/>
            <w:shd w:val="clear" w:color="auto" w:fill="FFD966" w:themeFill="accent4" w:themeFillTint="99"/>
          </w:tcPr>
          <w:p w14:paraId="1CFDDCB6" w14:textId="40BDF1AC" w:rsidR="00097E79" w:rsidRPr="000832E0" w:rsidRDefault="00241581" w:rsidP="002805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808</w:t>
            </w:r>
          </w:p>
        </w:tc>
        <w:tc>
          <w:tcPr>
            <w:tcW w:w="1397" w:type="dxa"/>
          </w:tcPr>
          <w:p w14:paraId="5208F76D" w14:textId="18E1D3B0" w:rsidR="00097E79" w:rsidRPr="000832E0" w:rsidRDefault="00097E79" w:rsidP="002805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</w:t>
            </w:r>
            <w:r w:rsidR="00D6375F">
              <w:rPr>
                <w:iCs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14:paraId="3D08EB1D" w14:textId="77777777" w:rsidR="00097E79" w:rsidRDefault="00097E79" w:rsidP="002805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07B33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F307D4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0219E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965675" w14:textId="77777777" w:rsidR="00097E79" w:rsidRPr="00CB1EF1" w:rsidRDefault="00097E79" w:rsidP="0028054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6D8EA52" w14:textId="31125FFE" w:rsidR="003C220B" w:rsidRDefault="003C220B" w:rsidP="005D27F5"/>
    <w:p w14:paraId="28F96A0B" w14:textId="11545009" w:rsidR="00892248" w:rsidRDefault="00892248" w:rsidP="005D27F5"/>
    <w:p w14:paraId="6A8F2117" w14:textId="7260E78A" w:rsidR="00892248" w:rsidRPr="00107613" w:rsidRDefault="00892248" w:rsidP="0010761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07613">
        <w:rPr>
          <w:b/>
          <w:bCs/>
          <w:color w:val="FF0000"/>
          <w:sz w:val="28"/>
          <w:szCs w:val="28"/>
          <w:u w:val="single"/>
        </w:rPr>
        <w:t xml:space="preserve">FOR </w:t>
      </w:r>
      <w:proofErr w:type="gramStart"/>
      <w:r w:rsidRPr="00107613">
        <w:rPr>
          <w:b/>
          <w:bCs/>
          <w:color w:val="FF0000"/>
          <w:sz w:val="28"/>
          <w:szCs w:val="28"/>
          <w:u w:val="single"/>
        </w:rPr>
        <w:t>EXAMPLE</w:t>
      </w:r>
      <w:proofErr w:type="gramEnd"/>
      <w:r w:rsidRPr="00107613">
        <w:rPr>
          <w:b/>
          <w:bCs/>
          <w:color w:val="FF0000"/>
          <w:sz w:val="28"/>
          <w:szCs w:val="28"/>
          <w:u w:val="single"/>
        </w:rPr>
        <w:t xml:space="preserve"> ONLY</w:t>
      </w:r>
    </w:p>
    <w:p w14:paraId="18B072A0" w14:textId="77777777" w:rsidR="00107613" w:rsidRPr="00C225C3" w:rsidRDefault="00107613" w:rsidP="005D27F5">
      <w:pPr>
        <w:rPr>
          <w:b/>
          <w:bCs/>
        </w:rPr>
      </w:pPr>
    </w:p>
    <w:p w14:paraId="1C7D6683" w14:textId="0CA9CBDF" w:rsidR="00892248" w:rsidRDefault="00F545B3" w:rsidP="005D27F5">
      <w:r>
        <w:t>The hypothetical amounts filled in below represent the costs</w:t>
      </w:r>
      <w:r w:rsidR="00C225C3">
        <w:t xml:space="preserve"> ’</w:t>
      </w:r>
      <w:r w:rsidR="00873D29">
        <w:t>P</w:t>
      </w:r>
      <w:r>
        <w:t xml:space="preserve">er </w:t>
      </w:r>
      <w:r w:rsidR="00873D29">
        <w:t>U</w:t>
      </w:r>
      <w:r>
        <w:t xml:space="preserve">nit </w:t>
      </w:r>
      <w:r w:rsidR="00873D29">
        <w:t>S</w:t>
      </w:r>
      <w:r>
        <w:t>ervice</w:t>
      </w:r>
      <w:r w:rsidR="00C225C3">
        <w:t>d’</w:t>
      </w:r>
      <w:r>
        <w:t xml:space="preserve">. In </w:t>
      </w:r>
      <w:r w:rsidR="00E26DE0">
        <w:t>Year</w:t>
      </w:r>
      <w:r>
        <w:t xml:space="preserve"> 1, </w:t>
      </w:r>
      <w:r w:rsidR="00C225C3">
        <w:t>the proposed $20.00 ‘Per Unit Serviced’ factors in fees for rental, cleaning, provision of supplies, transportation (fuel surcharge), pickup, and drop-off of all portable units</w:t>
      </w:r>
      <w:r w:rsidR="00107613">
        <w:t>. The hypothetical bidder submitting this cost proposal may also have considered the</w:t>
      </w:r>
      <w:r w:rsidR="00873D29">
        <w:t xml:space="preserve"> estimated number of annual services </w:t>
      </w:r>
      <w:r w:rsidR="00107613">
        <w:t>to</w:t>
      </w:r>
      <w:r w:rsidR="00873D29">
        <w:t xml:space="preserve"> be performed</w:t>
      </w:r>
      <w:r w:rsidR="00E26DE0">
        <w:t xml:space="preserve"> when determining an appropriate cost ‘Per Unit Serviced’.</w:t>
      </w:r>
      <w:r w:rsidR="00C225C3">
        <w:t xml:space="preserve"> 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208"/>
        <w:gridCol w:w="1397"/>
        <w:gridCol w:w="1260"/>
        <w:gridCol w:w="1260"/>
        <w:gridCol w:w="1260"/>
        <w:gridCol w:w="1260"/>
        <w:gridCol w:w="1260"/>
      </w:tblGrid>
      <w:tr w:rsidR="00892248" w:rsidRPr="00CB1EF1" w14:paraId="56F3CC0B" w14:textId="77777777" w:rsidTr="00D9115C">
        <w:trPr>
          <w:trHeight w:val="710"/>
        </w:trPr>
        <w:tc>
          <w:tcPr>
            <w:tcW w:w="1208" w:type="dxa"/>
            <w:shd w:val="clear" w:color="auto" w:fill="FFD966" w:themeFill="accent4" w:themeFillTint="99"/>
          </w:tcPr>
          <w:p w14:paraId="7608C596" w14:textId="77777777" w:rsidR="00892248" w:rsidRPr="000832E0" w:rsidRDefault="00892248" w:rsidP="00D911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Estimated # of Annual Services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4990F717" w14:textId="77777777" w:rsidR="00892248" w:rsidRPr="002B169C" w:rsidRDefault="00892248" w:rsidP="00D9115C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 w:rsidRPr="002B169C">
              <w:rPr>
                <w:b/>
                <w:bCs/>
                <w:i/>
                <w:sz w:val="20"/>
                <w:szCs w:val="20"/>
              </w:rPr>
              <w:t>Initial Term Years 1 - 5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6400E6" w14:textId="77777777" w:rsidR="00892248" w:rsidRPr="00CB1EF1" w:rsidRDefault="00892248" w:rsidP="00D9115C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8365B2" w14:textId="77777777" w:rsidR="00892248" w:rsidRPr="00CB1EF1" w:rsidRDefault="00892248" w:rsidP="00D9115C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E15E52" w14:textId="77777777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BEC1E9E" w14:textId="77777777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C5F8164" w14:textId="7EBA457E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 Term Year 5</w:t>
            </w:r>
          </w:p>
        </w:tc>
      </w:tr>
      <w:tr w:rsidR="00892248" w:rsidRPr="003D3ADE" w14:paraId="0DD94C57" w14:textId="77777777" w:rsidTr="00D9115C">
        <w:trPr>
          <w:trHeight w:val="260"/>
        </w:trPr>
        <w:tc>
          <w:tcPr>
            <w:tcW w:w="8905" w:type="dxa"/>
            <w:gridSpan w:val="7"/>
            <w:shd w:val="clear" w:color="auto" w:fill="000000" w:themeFill="text1"/>
          </w:tcPr>
          <w:p w14:paraId="61E79F5B" w14:textId="77777777" w:rsidR="00892248" w:rsidRPr="003D3ADE" w:rsidRDefault="00892248" w:rsidP="00D9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McConaughy SRA</w:t>
            </w:r>
          </w:p>
        </w:tc>
      </w:tr>
      <w:tr w:rsidR="00892248" w:rsidRPr="00CB1EF1" w14:paraId="5215622E" w14:textId="77777777" w:rsidTr="00D9115C">
        <w:trPr>
          <w:trHeight w:val="539"/>
        </w:trPr>
        <w:tc>
          <w:tcPr>
            <w:tcW w:w="1208" w:type="dxa"/>
            <w:shd w:val="clear" w:color="auto" w:fill="FFD966" w:themeFill="accent4" w:themeFillTint="99"/>
          </w:tcPr>
          <w:p w14:paraId="645256C2" w14:textId="77777777" w:rsidR="00892248" w:rsidRPr="000832E0" w:rsidRDefault="00892248" w:rsidP="00D911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2,802</w:t>
            </w:r>
          </w:p>
        </w:tc>
        <w:tc>
          <w:tcPr>
            <w:tcW w:w="1397" w:type="dxa"/>
          </w:tcPr>
          <w:p w14:paraId="45D7304F" w14:textId="77777777" w:rsidR="00892248" w:rsidRPr="000832E0" w:rsidRDefault="00892248" w:rsidP="00D9115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6B652CC0" w14:textId="0A695325" w:rsidR="00892248" w:rsidRPr="00892248" w:rsidRDefault="00892248" w:rsidP="00D9115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2248">
              <w:rPr>
                <w:b/>
                <w:bCs/>
                <w:i/>
                <w:color w:val="2E74B5" w:themeColor="accent1" w:themeShade="BF"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14:paraId="2372AABA" w14:textId="0D9D6CEC" w:rsidR="00892248" w:rsidRPr="00892248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21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10C677C" w14:textId="5D1C0F1B" w:rsidR="00892248" w:rsidRPr="00892248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22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53EA9F37" w14:textId="4E956741" w:rsidR="00892248" w:rsidRPr="00892248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23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6AEAF066" w14:textId="49A04325" w:rsidR="00892248" w:rsidRPr="00892248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24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4D18EA33" w14:textId="77777777" w:rsidTr="00D9115C">
        <w:trPr>
          <w:trHeight w:val="548"/>
        </w:trPr>
        <w:tc>
          <w:tcPr>
            <w:tcW w:w="1208" w:type="dxa"/>
            <w:shd w:val="clear" w:color="auto" w:fill="FFD966" w:themeFill="accent4" w:themeFillTint="99"/>
          </w:tcPr>
          <w:p w14:paraId="1964528F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1,928</w:t>
            </w:r>
          </w:p>
        </w:tc>
        <w:tc>
          <w:tcPr>
            <w:tcW w:w="1397" w:type="dxa"/>
          </w:tcPr>
          <w:p w14:paraId="38BFF53E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Serviced</w:t>
            </w:r>
          </w:p>
        </w:tc>
        <w:tc>
          <w:tcPr>
            <w:tcW w:w="1260" w:type="dxa"/>
          </w:tcPr>
          <w:p w14:paraId="37301554" w14:textId="652210CD" w:rsidR="00F545B3" w:rsidRPr="00892248" w:rsidRDefault="00F545B3" w:rsidP="00F545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2248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14:paraId="4AAF0E22" w14:textId="0F9186FF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38BE074B" w14:textId="2F3FD96A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6D2A9306" w14:textId="59F729F4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155731A9" w14:textId="0761D97E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24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7F16CD61" w14:textId="77777777" w:rsidTr="00D9115C">
        <w:trPr>
          <w:trHeight w:val="206"/>
        </w:trPr>
        <w:tc>
          <w:tcPr>
            <w:tcW w:w="8905" w:type="dxa"/>
            <w:gridSpan w:val="7"/>
            <w:shd w:val="clear" w:color="auto" w:fill="000000" w:themeFill="text1"/>
          </w:tcPr>
          <w:p w14:paraId="4FDD7D25" w14:textId="77777777" w:rsidR="00F545B3" w:rsidRPr="003D3ADE" w:rsidRDefault="00F545B3" w:rsidP="00F545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Ogallala SRA</w:t>
            </w:r>
          </w:p>
        </w:tc>
      </w:tr>
      <w:tr w:rsidR="00F545B3" w:rsidRPr="00CB1EF1" w14:paraId="49AB51B7" w14:textId="77777777" w:rsidTr="00D9115C">
        <w:trPr>
          <w:trHeight w:val="530"/>
        </w:trPr>
        <w:tc>
          <w:tcPr>
            <w:tcW w:w="1208" w:type="dxa"/>
            <w:shd w:val="clear" w:color="auto" w:fill="FFD966" w:themeFill="accent4" w:themeFillTint="99"/>
          </w:tcPr>
          <w:p w14:paraId="28D1F362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538</w:t>
            </w:r>
          </w:p>
          <w:p w14:paraId="1972B4DF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0918050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48F46AD5" w14:textId="76DA844E" w:rsidR="00F545B3" w:rsidRPr="00F545B3" w:rsidRDefault="00F545B3" w:rsidP="00F545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45B3">
              <w:rPr>
                <w:b/>
                <w:bCs/>
                <w:i/>
                <w:color w:val="BF8F00" w:themeColor="accent4" w:themeShade="BF"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14:paraId="63B34B30" w14:textId="5A6E4601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70585A29" w14:textId="0169AE8F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887BC0D" w14:textId="78E1B8E6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5A45FA97" w14:textId="5DA21188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24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63AE54E6" w14:textId="77777777" w:rsidTr="00D9115C">
        <w:trPr>
          <w:trHeight w:val="530"/>
        </w:trPr>
        <w:tc>
          <w:tcPr>
            <w:tcW w:w="1208" w:type="dxa"/>
            <w:shd w:val="clear" w:color="auto" w:fill="FFD966" w:themeFill="accent4" w:themeFillTint="99"/>
          </w:tcPr>
          <w:p w14:paraId="4C6AB1AC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808</w:t>
            </w:r>
          </w:p>
        </w:tc>
        <w:tc>
          <w:tcPr>
            <w:tcW w:w="1397" w:type="dxa"/>
          </w:tcPr>
          <w:p w14:paraId="342EE54F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Serviced</w:t>
            </w:r>
          </w:p>
        </w:tc>
        <w:tc>
          <w:tcPr>
            <w:tcW w:w="1260" w:type="dxa"/>
          </w:tcPr>
          <w:p w14:paraId="061FC8AA" w14:textId="4E809B16" w:rsidR="00F545B3" w:rsidRPr="00F545B3" w:rsidRDefault="00F545B3" w:rsidP="00F545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45B3">
              <w:rPr>
                <w:b/>
                <w:bCs/>
                <w:i/>
                <w:color w:val="538135" w:themeColor="accent6" w:themeShade="BF"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14:paraId="0C61E7BF" w14:textId="00C50F18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23043087" w14:textId="249D811F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72C66FF9" w14:textId="4DB62F81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41C2A7DB" w14:textId="52CF0389" w:rsidR="00F545B3" w:rsidRPr="00892248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892248">
              <w:rPr>
                <w:i/>
                <w:sz w:val="24"/>
                <w:szCs w:val="24"/>
              </w:rPr>
              <w:t>24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</w:tbl>
    <w:p w14:paraId="72AD5516" w14:textId="77777777" w:rsidR="00892248" w:rsidRDefault="00892248" w:rsidP="005D27F5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208"/>
        <w:gridCol w:w="1397"/>
        <w:gridCol w:w="1260"/>
        <w:gridCol w:w="1260"/>
        <w:gridCol w:w="1260"/>
        <w:gridCol w:w="1260"/>
        <w:gridCol w:w="1260"/>
      </w:tblGrid>
      <w:tr w:rsidR="00892248" w:rsidRPr="00CB1EF1" w14:paraId="45C8E970" w14:textId="77777777" w:rsidTr="00D9115C">
        <w:trPr>
          <w:trHeight w:val="818"/>
        </w:trPr>
        <w:tc>
          <w:tcPr>
            <w:tcW w:w="1208" w:type="dxa"/>
            <w:shd w:val="clear" w:color="auto" w:fill="FFD966" w:themeFill="accent4" w:themeFillTint="99"/>
          </w:tcPr>
          <w:p w14:paraId="6E06135B" w14:textId="77777777" w:rsidR="00892248" w:rsidRPr="000832E0" w:rsidRDefault="00892248" w:rsidP="00D911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Estimated # of Annual Services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7A216E9C" w14:textId="77777777" w:rsidR="00892248" w:rsidRPr="002B169C" w:rsidRDefault="00892248" w:rsidP="00D9115C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Optional Renewal</w:t>
            </w:r>
            <w:r w:rsidRPr="002B169C">
              <w:rPr>
                <w:b/>
                <w:bCs/>
                <w:i/>
                <w:sz w:val="20"/>
                <w:szCs w:val="20"/>
              </w:rPr>
              <w:t xml:space="preserve"> Years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9D4DE1" w14:textId="77777777" w:rsidR="00892248" w:rsidRPr="00CB1EF1" w:rsidRDefault="00892248" w:rsidP="00D9115C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 1 Year 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0C1B0A5" w14:textId="77777777" w:rsidR="00892248" w:rsidRPr="00CB1EF1" w:rsidRDefault="00892248" w:rsidP="00D9115C">
            <w:pPr>
              <w:spacing w:after="160" w:line="259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 2 Year 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A25FD1" w14:textId="77777777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 3 Year 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429F67" w14:textId="77777777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 4 Year 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EA2CE4" w14:textId="77777777" w:rsidR="00892248" w:rsidRPr="00CB1EF1" w:rsidRDefault="00892248" w:rsidP="00D911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Renewal 5 Year 10</w:t>
            </w:r>
          </w:p>
        </w:tc>
      </w:tr>
      <w:tr w:rsidR="00892248" w:rsidRPr="003D3ADE" w14:paraId="53751807" w14:textId="77777777" w:rsidTr="00D9115C">
        <w:trPr>
          <w:trHeight w:val="260"/>
        </w:trPr>
        <w:tc>
          <w:tcPr>
            <w:tcW w:w="8905" w:type="dxa"/>
            <w:gridSpan w:val="7"/>
            <w:shd w:val="clear" w:color="auto" w:fill="000000" w:themeFill="text1"/>
          </w:tcPr>
          <w:p w14:paraId="47B059E2" w14:textId="77777777" w:rsidR="00892248" w:rsidRPr="003D3ADE" w:rsidRDefault="00892248" w:rsidP="00D9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McConaughy SRA</w:t>
            </w:r>
          </w:p>
        </w:tc>
      </w:tr>
      <w:tr w:rsidR="00892248" w:rsidRPr="00CB1EF1" w14:paraId="7213F9F0" w14:textId="77777777" w:rsidTr="00D9115C">
        <w:trPr>
          <w:trHeight w:val="458"/>
        </w:trPr>
        <w:tc>
          <w:tcPr>
            <w:tcW w:w="1208" w:type="dxa"/>
            <w:shd w:val="clear" w:color="auto" w:fill="FFD966" w:themeFill="accent4" w:themeFillTint="99"/>
          </w:tcPr>
          <w:p w14:paraId="4E27B815" w14:textId="77777777" w:rsidR="00892248" w:rsidRPr="000832E0" w:rsidRDefault="00892248" w:rsidP="00D911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2,802</w:t>
            </w:r>
          </w:p>
        </w:tc>
        <w:tc>
          <w:tcPr>
            <w:tcW w:w="1397" w:type="dxa"/>
          </w:tcPr>
          <w:p w14:paraId="64CDDAEA" w14:textId="77777777" w:rsidR="00892248" w:rsidRPr="000832E0" w:rsidRDefault="00892248" w:rsidP="00D9115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48542251" w14:textId="621CABE2" w:rsidR="00892248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5EB55910" w14:textId="2A45B032" w:rsidR="00892248" w:rsidRPr="00F545B3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26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6E269A45" w14:textId="7FAF5640" w:rsidR="00892248" w:rsidRPr="00F545B3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27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59F932A4" w14:textId="32BE3DD1" w:rsidR="00892248" w:rsidRPr="00F545B3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28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481894DF" w14:textId="43456ABA" w:rsidR="00892248" w:rsidRPr="00F545B3" w:rsidRDefault="00892248" w:rsidP="00D9115C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29</w:t>
            </w:r>
            <w:r w:rsidR="00F545B3"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18C463EA" w14:textId="77777777" w:rsidTr="00D9115C">
        <w:trPr>
          <w:trHeight w:val="494"/>
        </w:trPr>
        <w:tc>
          <w:tcPr>
            <w:tcW w:w="1208" w:type="dxa"/>
            <w:shd w:val="clear" w:color="auto" w:fill="FFD966" w:themeFill="accent4" w:themeFillTint="99"/>
          </w:tcPr>
          <w:p w14:paraId="03685E9B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1,928</w:t>
            </w:r>
          </w:p>
        </w:tc>
        <w:tc>
          <w:tcPr>
            <w:tcW w:w="1397" w:type="dxa"/>
          </w:tcPr>
          <w:p w14:paraId="560221DF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Serviced</w:t>
            </w:r>
          </w:p>
        </w:tc>
        <w:tc>
          <w:tcPr>
            <w:tcW w:w="1260" w:type="dxa"/>
          </w:tcPr>
          <w:p w14:paraId="2ADA3F61" w14:textId="58A66445" w:rsid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</w:t>
            </w:r>
          </w:p>
        </w:tc>
        <w:tc>
          <w:tcPr>
            <w:tcW w:w="1260" w:type="dxa"/>
          </w:tcPr>
          <w:p w14:paraId="11BE3E23" w14:textId="767E988C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4A628CA5" w14:textId="6901D897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41BA7E2B" w14:textId="33FA125A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28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2A870480" w14:textId="37864B8C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29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62248FD3" w14:textId="77777777" w:rsidTr="00D9115C">
        <w:trPr>
          <w:trHeight w:val="206"/>
        </w:trPr>
        <w:tc>
          <w:tcPr>
            <w:tcW w:w="8905" w:type="dxa"/>
            <w:gridSpan w:val="7"/>
            <w:shd w:val="clear" w:color="auto" w:fill="000000" w:themeFill="text1"/>
          </w:tcPr>
          <w:p w14:paraId="4139D170" w14:textId="77777777" w:rsidR="00F545B3" w:rsidRPr="003D3ADE" w:rsidRDefault="00F545B3" w:rsidP="00F545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D3ADE">
              <w:rPr>
                <w:b/>
                <w:bCs/>
                <w:i/>
                <w:sz w:val="20"/>
                <w:szCs w:val="20"/>
              </w:rPr>
              <w:t>Lake Ogallala SRA</w:t>
            </w:r>
          </w:p>
        </w:tc>
      </w:tr>
      <w:tr w:rsidR="00F545B3" w:rsidRPr="00CB1EF1" w14:paraId="4799EB11" w14:textId="77777777" w:rsidTr="00D9115C">
        <w:trPr>
          <w:trHeight w:val="458"/>
        </w:trPr>
        <w:tc>
          <w:tcPr>
            <w:tcW w:w="1208" w:type="dxa"/>
            <w:shd w:val="clear" w:color="auto" w:fill="FFD966" w:themeFill="accent4" w:themeFillTint="99"/>
          </w:tcPr>
          <w:p w14:paraId="2FAE7F33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538</w:t>
            </w:r>
          </w:p>
          <w:p w14:paraId="5452906F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E7BC20B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Regular </w:t>
            </w:r>
            <w:r w:rsidRPr="000832E0">
              <w:rPr>
                <w:iCs/>
                <w:sz w:val="20"/>
                <w:szCs w:val="20"/>
              </w:rPr>
              <w:t>$ Per Unit Serviced</w:t>
            </w:r>
          </w:p>
        </w:tc>
        <w:tc>
          <w:tcPr>
            <w:tcW w:w="1260" w:type="dxa"/>
          </w:tcPr>
          <w:p w14:paraId="6CD02A63" w14:textId="4E304E69" w:rsid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</w:t>
            </w:r>
          </w:p>
        </w:tc>
        <w:tc>
          <w:tcPr>
            <w:tcW w:w="1260" w:type="dxa"/>
          </w:tcPr>
          <w:p w14:paraId="08F704B1" w14:textId="71727D03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77B9CFF" w14:textId="462969CF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2C4299EF" w14:textId="7D74218D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28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1218419D" w14:textId="623935D3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29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  <w:tr w:rsidR="00F545B3" w:rsidRPr="00CB1EF1" w14:paraId="74AFA4DB" w14:textId="77777777" w:rsidTr="00D9115C">
        <w:trPr>
          <w:trHeight w:val="503"/>
        </w:trPr>
        <w:tc>
          <w:tcPr>
            <w:tcW w:w="1208" w:type="dxa"/>
            <w:shd w:val="clear" w:color="auto" w:fill="FFD966" w:themeFill="accent4" w:themeFillTint="99"/>
          </w:tcPr>
          <w:p w14:paraId="76DBCC81" w14:textId="77777777" w:rsidR="00F545B3" w:rsidRPr="000832E0" w:rsidRDefault="00F545B3" w:rsidP="00F545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808</w:t>
            </w:r>
          </w:p>
        </w:tc>
        <w:tc>
          <w:tcPr>
            <w:tcW w:w="1397" w:type="dxa"/>
          </w:tcPr>
          <w:p w14:paraId="69416F31" w14:textId="77777777" w:rsidR="00F545B3" w:rsidRPr="000832E0" w:rsidRDefault="00F545B3" w:rsidP="00F545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ADA $ Per Unit Serviced</w:t>
            </w:r>
          </w:p>
        </w:tc>
        <w:tc>
          <w:tcPr>
            <w:tcW w:w="1260" w:type="dxa"/>
          </w:tcPr>
          <w:p w14:paraId="0E538E3C" w14:textId="40499474" w:rsid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</w:t>
            </w:r>
          </w:p>
        </w:tc>
        <w:tc>
          <w:tcPr>
            <w:tcW w:w="1260" w:type="dxa"/>
          </w:tcPr>
          <w:p w14:paraId="368448B2" w14:textId="27A04CE3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BE5B7A6" w14:textId="15D1D921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27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6C30CC3" w14:textId="03F2A4EF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28</w:t>
            </w:r>
            <w:r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03CD43D3" w14:textId="47C77511" w:rsidR="00F545B3" w:rsidRPr="00F545B3" w:rsidRDefault="00F545B3" w:rsidP="00F545B3">
            <w:pPr>
              <w:jc w:val="center"/>
              <w:rPr>
                <w:i/>
                <w:sz w:val="24"/>
                <w:szCs w:val="24"/>
              </w:rPr>
            </w:pPr>
            <w:r w:rsidRPr="00F545B3">
              <w:rPr>
                <w:i/>
                <w:sz w:val="24"/>
                <w:szCs w:val="24"/>
              </w:rPr>
              <w:t>29</w:t>
            </w:r>
            <w:r>
              <w:rPr>
                <w:i/>
                <w:sz w:val="24"/>
                <w:szCs w:val="24"/>
              </w:rPr>
              <w:t>.00</w:t>
            </w:r>
          </w:p>
        </w:tc>
      </w:tr>
    </w:tbl>
    <w:p w14:paraId="1625FDEC" w14:textId="4A8B1496" w:rsidR="000E2214" w:rsidRDefault="000E2214" w:rsidP="005D27F5"/>
    <w:p w14:paraId="54C878C9" w14:textId="765A7258" w:rsidR="000E2214" w:rsidRDefault="00873D29" w:rsidP="000E2214">
      <w:r>
        <w:t xml:space="preserve">For purposes of example only, the </w:t>
      </w:r>
      <w:r w:rsidR="000E2214">
        <w:t>estimated cumulative extended cost for year 1</w:t>
      </w:r>
      <w:r w:rsidR="00107613">
        <w:t xml:space="preserve"> above</w:t>
      </w:r>
      <w:r w:rsidR="000E2214">
        <w:t xml:space="preserve"> would be calculated as follows:</w:t>
      </w:r>
    </w:p>
    <w:p w14:paraId="0CF36827" w14:textId="3B77C023" w:rsidR="00873D29" w:rsidRDefault="000E2214" w:rsidP="00873D29">
      <w:pPr>
        <w:jc w:val="center"/>
        <w:rPr>
          <w:b/>
          <w:bCs/>
        </w:rPr>
      </w:pPr>
      <w:r>
        <w:t xml:space="preserve">Year 1 Ext Cost: (2,802 x </w:t>
      </w:r>
      <w:r w:rsidRPr="00892248">
        <w:rPr>
          <w:b/>
          <w:bCs/>
          <w:color w:val="2E74B5" w:themeColor="accent1" w:themeShade="BF"/>
        </w:rPr>
        <w:t>20</w:t>
      </w:r>
      <w:r>
        <w:t xml:space="preserve">) + (1,928 x </w:t>
      </w:r>
      <w:r w:rsidRPr="00892248">
        <w:rPr>
          <w:b/>
          <w:bCs/>
          <w:color w:val="C45911" w:themeColor="accent2" w:themeShade="BF"/>
        </w:rPr>
        <w:t>20</w:t>
      </w:r>
      <w:r>
        <w:t xml:space="preserve">) + (538 x </w:t>
      </w:r>
      <w:r w:rsidRPr="00892248">
        <w:rPr>
          <w:b/>
          <w:bCs/>
          <w:color w:val="BF8F00" w:themeColor="accent4" w:themeShade="BF"/>
        </w:rPr>
        <w:t>20</w:t>
      </w:r>
      <w:r>
        <w:t xml:space="preserve">) + (808 x </w:t>
      </w:r>
      <w:r w:rsidRPr="00892248">
        <w:rPr>
          <w:b/>
          <w:bCs/>
          <w:color w:val="538135" w:themeColor="accent6" w:themeShade="BF"/>
        </w:rPr>
        <w:t>20</w:t>
      </w:r>
      <w:r>
        <w:t xml:space="preserve">) = </w:t>
      </w:r>
      <w:r w:rsidRPr="00892248">
        <w:rPr>
          <w:b/>
          <w:bCs/>
        </w:rPr>
        <w:t>$121,520.00</w:t>
      </w:r>
    </w:p>
    <w:p w14:paraId="7C12E54A" w14:textId="77777777" w:rsidR="00873D29" w:rsidRPr="00873D29" w:rsidRDefault="00873D29" w:rsidP="00873D29">
      <w:pPr>
        <w:jc w:val="center"/>
        <w:rPr>
          <w:b/>
          <w:bCs/>
        </w:rPr>
      </w:pPr>
    </w:p>
    <w:p w14:paraId="089C2744" w14:textId="5887D20E" w:rsidR="000E2214" w:rsidRPr="00873D29" w:rsidRDefault="00873D29" w:rsidP="00107613">
      <w:pPr>
        <w:jc w:val="center"/>
        <w:rPr>
          <w:i/>
          <w:iCs/>
        </w:rPr>
      </w:pPr>
      <w:r w:rsidRPr="00873D29">
        <w:rPr>
          <w:i/>
          <w:iCs/>
        </w:rPr>
        <w:t>Bidders</w:t>
      </w:r>
      <w:r w:rsidRPr="00873D29">
        <w:rPr>
          <w:b/>
          <w:bCs/>
          <w:i/>
          <w:iCs/>
        </w:rPr>
        <w:t xml:space="preserve"> SHOULD NOT </w:t>
      </w:r>
      <w:r w:rsidRPr="00873D29">
        <w:rPr>
          <w:i/>
          <w:iCs/>
        </w:rPr>
        <w:t xml:space="preserve">include extended cost tabulations as part of Cost Proposal </w:t>
      </w:r>
      <w:r w:rsidR="00107613">
        <w:rPr>
          <w:i/>
          <w:iCs/>
        </w:rPr>
        <w:t>s</w:t>
      </w:r>
      <w:r w:rsidRPr="00873D29">
        <w:rPr>
          <w:i/>
          <w:iCs/>
        </w:rPr>
        <w:t>ubmission.</w:t>
      </w:r>
    </w:p>
    <w:p w14:paraId="54A18DC4" w14:textId="77777777" w:rsidR="000E2214" w:rsidRDefault="000E2214" w:rsidP="005D27F5"/>
    <w:sectPr w:rsidR="000E2214" w:rsidSect="00A7717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7378" w14:textId="77777777" w:rsidR="00533CB7" w:rsidRDefault="00533CB7" w:rsidP="006539B6">
      <w:pPr>
        <w:spacing w:after="0" w:line="240" w:lineRule="auto"/>
      </w:pPr>
      <w:r>
        <w:separator/>
      </w:r>
    </w:p>
  </w:endnote>
  <w:endnote w:type="continuationSeparator" w:id="0">
    <w:p w14:paraId="2E69B62F" w14:textId="77777777" w:rsidR="00533CB7" w:rsidRDefault="00533CB7" w:rsidP="006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F8BB" w14:textId="77777777" w:rsidR="00533CB7" w:rsidRDefault="00533CB7" w:rsidP="006539B6">
      <w:pPr>
        <w:spacing w:after="0" w:line="240" w:lineRule="auto"/>
      </w:pPr>
      <w:r>
        <w:separator/>
      </w:r>
    </w:p>
  </w:footnote>
  <w:footnote w:type="continuationSeparator" w:id="0">
    <w:p w14:paraId="26A83BEA" w14:textId="77777777" w:rsidR="00533CB7" w:rsidRDefault="00533CB7" w:rsidP="0065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08"/>
    <w:rsid w:val="000725D7"/>
    <w:rsid w:val="000832E0"/>
    <w:rsid w:val="00097E79"/>
    <w:rsid w:val="000E2214"/>
    <w:rsid w:val="00107613"/>
    <w:rsid w:val="00241581"/>
    <w:rsid w:val="00267A08"/>
    <w:rsid w:val="00282259"/>
    <w:rsid w:val="002B169C"/>
    <w:rsid w:val="003068C9"/>
    <w:rsid w:val="003C220B"/>
    <w:rsid w:val="003C2B96"/>
    <w:rsid w:val="003D3ADE"/>
    <w:rsid w:val="003D53EA"/>
    <w:rsid w:val="00473226"/>
    <w:rsid w:val="00521312"/>
    <w:rsid w:val="00533CB7"/>
    <w:rsid w:val="005D27F5"/>
    <w:rsid w:val="0065243F"/>
    <w:rsid w:val="006539B6"/>
    <w:rsid w:val="00673700"/>
    <w:rsid w:val="006A1874"/>
    <w:rsid w:val="00763D31"/>
    <w:rsid w:val="00873D29"/>
    <w:rsid w:val="00892248"/>
    <w:rsid w:val="00904B92"/>
    <w:rsid w:val="00946AC4"/>
    <w:rsid w:val="00A54DE4"/>
    <w:rsid w:val="00A77172"/>
    <w:rsid w:val="00AC518E"/>
    <w:rsid w:val="00AD3341"/>
    <w:rsid w:val="00B5761C"/>
    <w:rsid w:val="00BC7D81"/>
    <w:rsid w:val="00C225C3"/>
    <w:rsid w:val="00C25F68"/>
    <w:rsid w:val="00C81168"/>
    <w:rsid w:val="00CB1EF1"/>
    <w:rsid w:val="00D6375F"/>
    <w:rsid w:val="00D85F08"/>
    <w:rsid w:val="00DC33B5"/>
    <w:rsid w:val="00DE1D41"/>
    <w:rsid w:val="00E07D55"/>
    <w:rsid w:val="00E26DE0"/>
    <w:rsid w:val="00F545B3"/>
    <w:rsid w:val="00F67C7F"/>
    <w:rsid w:val="00F74C9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F9874"/>
  <w15:chartTrackingRefBased/>
  <w15:docId w15:val="{9FF2A0A0-B9AC-4215-9939-17EF33FC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6"/>
  </w:style>
  <w:style w:type="paragraph" w:styleId="Footer">
    <w:name w:val="footer"/>
    <w:basedOn w:val="Normal"/>
    <w:link w:val="FooterChar"/>
    <w:uiPriority w:val="99"/>
    <w:unhideWhenUsed/>
    <w:rsid w:val="006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6"/>
  </w:style>
  <w:style w:type="paragraph" w:customStyle="1" w:styleId="Default">
    <w:name w:val="Default"/>
    <w:rsid w:val="005D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5F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52DA-5EFB-435B-B83C-BE1AFF7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575</Words>
  <Characters>3180</Characters>
  <Application>Microsoft Office Word</Application>
  <DocSecurity>0</DocSecurity>
  <Lines>265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Caddy, Matthew</cp:lastModifiedBy>
  <cp:revision>5</cp:revision>
  <dcterms:created xsi:type="dcterms:W3CDTF">2023-10-12T16:48:00Z</dcterms:created>
  <dcterms:modified xsi:type="dcterms:W3CDTF">2023-10-16T17:42:00Z</dcterms:modified>
</cp:coreProperties>
</file>